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28361" w14:textId="77777777" w:rsidR="00883D55" w:rsidRPr="00141624" w:rsidRDefault="00141624">
      <w:pPr>
        <w:pStyle w:val="Ttulo2"/>
        <w:rPr>
          <w:rFonts w:ascii="Arial" w:hAnsi="Arial" w:cs="Arial"/>
        </w:rPr>
      </w:pPr>
      <w:bookmarkStart w:id="0" w:name="_cgc6zp9dbqgn" w:colFirst="0" w:colLast="0"/>
      <w:bookmarkStart w:id="1" w:name="_GoBack"/>
      <w:bookmarkEnd w:id="0"/>
      <w:bookmarkEnd w:id="1"/>
      <w:r w:rsidRPr="00141624">
        <w:rPr>
          <w:rFonts w:ascii="Arial" w:hAnsi="Arial" w:cs="Arial"/>
          <w:color w:val="6C217F"/>
        </w:rPr>
        <w:t>Template GBV Risk Analysis for CVA</w:t>
      </w:r>
    </w:p>
    <w:tbl>
      <w:tblPr>
        <w:tblStyle w:val="a"/>
        <w:tblW w:w="1417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2130"/>
        <w:gridCol w:w="2130"/>
        <w:gridCol w:w="2130"/>
        <w:gridCol w:w="2130"/>
        <w:gridCol w:w="2370"/>
      </w:tblGrid>
      <w:tr w:rsidR="00883D55" w:rsidRPr="00141624" w14:paraId="1DB1B699" w14:textId="77777777">
        <w:trPr>
          <w:trHeight w:val="1350"/>
        </w:trPr>
        <w:tc>
          <w:tcPr>
            <w:tcW w:w="3285" w:type="dxa"/>
            <w:tcBorders>
              <w:top w:val="single" w:sz="6" w:space="0" w:color="FFFFFF"/>
              <w:left w:val="single" w:sz="6" w:space="0" w:color="FFFFFF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66D3DC" w14:textId="77777777" w:rsidR="00883D55" w:rsidRPr="00141624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4162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GBV/CVA Risk Category</w:t>
            </w:r>
          </w:p>
        </w:tc>
        <w:tc>
          <w:tcPr>
            <w:tcW w:w="2130" w:type="dxa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AA4E4" w14:textId="77777777" w:rsidR="00883D55" w:rsidRPr="00141624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4162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GBV Risks (Context-Specific)</w:t>
            </w:r>
          </w:p>
        </w:tc>
        <w:tc>
          <w:tcPr>
            <w:tcW w:w="2130" w:type="dxa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F4B656" w14:textId="77777777" w:rsidR="00883D55" w:rsidRPr="00141624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4162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Potential GBV Types</w:t>
            </w:r>
          </w:p>
        </w:tc>
        <w:tc>
          <w:tcPr>
            <w:tcW w:w="2130" w:type="dxa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03F6A9" w14:textId="77777777" w:rsidR="00883D55" w:rsidRPr="00141624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4162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Individual and Community Mitigation Measures</w:t>
            </w:r>
          </w:p>
        </w:tc>
        <w:tc>
          <w:tcPr>
            <w:tcW w:w="2130" w:type="dxa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A56C8" w14:textId="77777777" w:rsidR="00883D55" w:rsidRPr="00141624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4162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Humanitarian Actor Mitigation Measures</w:t>
            </w:r>
          </w:p>
        </w:tc>
        <w:tc>
          <w:tcPr>
            <w:tcW w:w="2370" w:type="dxa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802900" w14:textId="77777777" w:rsidR="00883D55" w:rsidRPr="00141624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4162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Potential Benefits in This Area</w:t>
            </w:r>
          </w:p>
        </w:tc>
      </w:tr>
      <w:tr w:rsidR="00883D55" w:rsidRPr="00141624" w14:paraId="3D2CE080" w14:textId="77777777">
        <w:trPr>
          <w:trHeight w:val="1875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B6DE01" w14:textId="77777777" w:rsidR="00883D55" w:rsidRPr="00141624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 w:rsidRPr="00141624">
              <w:rPr>
                <w:rFonts w:ascii="Arial" w:eastAsia="Arial" w:hAnsi="Arial" w:cs="Arial"/>
                <w:b/>
                <w:color w:val="434343"/>
                <w:sz w:val="20"/>
                <w:szCs w:val="20"/>
              </w:rPr>
              <w:t>Participation and Inclusion (Particularly Regarding Information Dissemination and Awareness)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6F9EB6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28777F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7D12A2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40C658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05CA41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3D55" w:rsidRPr="00141624" w14:paraId="16EEE6DB" w14:textId="77777777">
        <w:trPr>
          <w:trHeight w:val="1470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AD73E0" w14:textId="77777777" w:rsidR="00883D55" w:rsidRPr="00141624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 w:rsidRPr="00141624">
              <w:rPr>
                <w:rFonts w:ascii="Arial" w:eastAsia="Arial" w:hAnsi="Arial" w:cs="Arial"/>
                <w:b/>
                <w:color w:val="434343"/>
                <w:sz w:val="20"/>
                <w:szCs w:val="20"/>
              </w:rPr>
              <w:t>Safe and Dignified Access (Particularly Regarding Delivery Mechanisms of Cva)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34F5D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486758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B17C87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0324A1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1094F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3D55" w:rsidRPr="00141624" w14:paraId="604F82CC" w14:textId="77777777">
        <w:trPr>
          <w:trHeight w:val="1500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1B1A27" w14:textId="77777777" w:rsidR="00883D55" w:rsidRPr="00141624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 w:rsidRPr="00141624">
              <w:rPr>
                <w:rFonts w:ascii="Arial" w:eastAsia="Arial" w:hAnsi="Arial" w:cs="Arial"/>
                <w:b/>
                <w:color w:val="434343"/>
                <w:sz w:val="20"/>
                <w:szCs w:val="20"/>
              </w:rPr>
              <w:t>Confidentiality of Personal Data of Survivors and Persons at Risk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C725A8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FC6F8E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50660A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67641A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780472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3D55" w:rsidRPr="00141624" w14:paraId="3A5BC15D" w14:textId="77777777">
        <w:trPr>
          <w:trHeight w:val="1380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59AFD6" w14:textId="77777777" w:rsidR="00883D55" w:rsidRPr="00141624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 w:rsidRPr="00141624">
              <w:rPr>
                <w:rFonts w:ascii="Arial" w:eastAsia="Arial" w:hAnsi="Arial" w:cs="Arial"/>
                <w:b/>
                <w:color w:val="434343"/>
                <w:sz w:val="20"/>
                <w:szCs w:val="20"/>
              </w:rPr>
              <w:t>Social Norms and Partner, Household &amp; Community Relations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B9BE1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57D93D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35AC1D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189BCA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1D8A9E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3D55" w:rsidRPr="00141624" w14:paraId="43D94AF6" w14:textId="77777777">
        <w:trPr>
          <w:trHeight w:val="1530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5F130" w14:textId="77777777" w:rsidR="00883D55" w:rsidRPr="00141624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 w:rsidRPr="00141624">
              <w:rPr>
                <w:rFonts w:ascii="Arial" w:eastAsia="Arial" w:hAnsi="Arial" w:cs="Arial"/>
                <w:b/>
                <w:color w:val="434343"/>
                <w:sz w:val="20"/>
                <w:szCs w:val="20"/>
              </w:rPr>
              <w:t>Other (Context-Specific)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D2A78F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731329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B2C942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DFE01D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58B2F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279B9AF" w14:textId="77777777" w:rsidR="00883D55" w:rsidRPr="00141624" w:rsidRDefault="00883D55" w:rsidP="00B81A9B">
      <w:pPr>
        <w:pStyle w:val="Normal1"/>
        <w:jc w:val="center"/>
      </w:pPr>
      <w:bookmarkStart w:id="2" w:name="_j4vzwlpbolfo" w:colFirst="0" w:colLast="0"/>
      <w:bookmarkEnd w:id="2"/>
    </w:p>
    <w:sectPr w:rsidR="00883D55" w:rsidRPr="00141624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A8420" w14:textId="77777777" w:rsidR="00C34147" w:rsidRDefault="00C34147" w:rsidP="00141624">
      <w:pPr>
        <w:spacing w:before="0" w:line="240" w:lineRule="auto"/>
      </w:pPr>
      <w:r>
        <w:separator/>
      </w:r>
    </w:p>
  </w:endnote>
  <w:endnote w:type="continuationSeparator" w:id="0">
    <w:p w14:paraId="6888A27F" w14:textId="77777777" w:rsidR="00C34147" w:rsidRDefault="00C34147" w:rsidP="0014162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altName w:val="Times New Roman"/>
    <w:charset w:val="00"/>
    <w:family w:val="auto"/>
    <w:pitch w:val="default"/>
  </w:font>
  <w:font w:name="Roboto Slab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EB33E" w14:textId="77777777" w:rsidR="00C34147" w:rsidRDefault="00C34147" w:rsidP="00141624">
      <w:pPr>
        <w:spacing w:before="0" w:line="240" w:lineRule="auto"/>
      </w:pPr>
      <w:r>
        <w:separator/>
      </w:r>
    </w:p>
  </w:footnote>
  <w:footnote w:type="continuationSeparator" w:id="0">
    <w:p w14:paraId="5CC25548" w14:textId="77777777" w:rsidR="00C34147" w:rsidRDefault="00C34147" w:rsidP="00141624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55"/>
    <w:rsid w:val="00035FEA"/>
    <w:rsid w:val="000B35BC"/>
    <w:rsid w:val="00141624"/>
    <w:rsid w:val="003174E0"/>
    <w:rsid w:val="00883D55"/>
    <w:rsid w:val="008A4ABF"/>
    <w:rsid w:val="00B0711E"/>
    <w:rsid w:val="00B334F6"/>
    <w:rsid w:val="00B81A9B"/>
    <w:rsid w:val="00C3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163F14"/>
  <w15:docId w15:val="{6BD75608-6EEF-479F-ABFE-AD4F42A4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" w:eastAsia="Roboto" w:hAnsi="Roboto" w:cs="Roboto"/>
        <w:sz w:val="24"/>
        <w:szCs w:val="24"/>
        <w:lang w:val="en" w:eastAsia="en-US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320" w:line="240" w:lineRule="auto"/>
      <w:jc w:val="center"/>
      <w:outlineLvl w:val="0"/>
    </w:pPr>
    <w:rPr>
      <w:rFonts w:ascii="Roboto Slab" w:eastAsia="Roboto Slab" w:hAnsi="Roboto Slab" w:cs="Roboto Slab"/>
      <w:color w:val="029AED"/>
      <w:sz w:val="36"/>
      <w:szCs w:val="36"/>
    </w:rPr>
  </w:style>
  <w:style w:type="paragraph" w:styleId="Ttulo2">
    <w:name w:val="heading 2"/>
    <w:basedOn w:val="Normal1"/>
    <w:next w:val="Normal1"/>
    <w:pPr>
      <w:keepNext/>
      <w:keepLines/>
      <w:spacing w:before="480" w:line="240" w:lineRule="auto"/>
      <w:outlineLvl w:val="1"/>
    </w:pPr>
    <w:rPr>
      <w:rFonts w:ascii="Roboto Slab" w:eastAsia="Roboto Slab" w:hAnsi="Roboto Slab" w:cs="Roboto Slab"/>
      <w:b/>
      <w:color w:val="63A600"/>
      <w:sz w:val="36"/>
      <w:szCs w:val="36"/>
    </w:rPr>
  </w:style>
  <w:style w:type="paragraph" w:styleId="Ttulo3">
    <w:name w:val="heading 3"/>
    <w:basedOn w:val="Normal1"/>
    <w:next w:val="Normal1"/>
    <w:pPr>
      <w:outlineLvl w:val="2"/>
    </w:pPr>
    <w:rPr>
      <w:rFonts w:ascii="Roboto Slab" w:eastAsia="Roboto Slab" w:hAnsi="Roboto Slab" w:cs="Roboto Slab"/>
      <w:color w:val="FF5722"/>
      <w:sz w:val="32"/>
      <w:szCs w:val="32"/>
    </w:rPr>
  </w:style>
  <w:style w:type="paragraph" w:styleId="Ttulo4">
    <w:name w:val="heading 4"/>
    <w:basedOn w:val="Normal1"/>
    <w:next w:val="Normal1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Ttulo5">
    <w:name w:val="heading 5"/>
    <w:basedOn w:val="Normal1"/>
    <w:next w:val="Normal1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paragraph" w:styleId="Puesto">
    <w:name w:val="Title"/>
    <w:basedOn w:val="Normal1"/>
    <w:next w:val="Normal1"/>
    <w:pPr>
      <w:jc w:val="center"/>
    </w:pPr>
    <w:rPr>
      <w:rFonts w:ascii="Roboto Slab" w:eastAsia="Roboto Slab" w:hAnsi="Roboto Slab" w:cs="Roboto Slab"/>
      <w:b/>
      <w:color w:val="8BC34A"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jc w:val="center"/>
    </w:pPr>
    <w:rPr>
      <w:i/>
      <w:color w:val="666666"/>
      <w:sz w:val="28"/>
      <w:szCs w:val="28"/>
    </w:rPr>
  </w:style>
  <w:style w:type="table" w:customStyle="1" w:styleId="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41624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1624"/>
  </w:style>
  <w:style w:type="paragraph" w:styleId="Piedepgina">
    <w:name w:val="footer"/>
    <w:basedOn w:val="Normal"/>
    <w:link w:val="PiedepginaCar"/>
    <w:uiPriority w:val="99"/>
    <w:unhideWhenUsed/>
    <w:rsid w:val="00141624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624"/>
  </w:style>
  <w:style w:type="table" w:styleId="Tablaconcuadrcula">
    <w:name w:val="Table Grid"/>
    <w:basedOn w:val="Tablanormal"/>
    <w:uiPriority w:val="39"/>
    <w:rsid w:val="008A4ABF"/>
    <w:pPr>
      <w:spacing w:before="0" w:line="240" w:lineRule="auto"/>
    </w:pPr>
    <w:rPr>
      <w:rFonts w:ascii="Calibri" w:eastAsiaTheme="minorHAnsi" w:hAnsi="Calibri" w:cs="Calibr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Muhammad, Hiba</dc:creator>
  <cp:lastModifiedBy>eleonora arge</cp:lastModifiedBy>
  <cp:revision>2</cp:revision>
  <dcterms:created xsi:type="dcterms:W3CDTF">2022-06-30T13:29:00Z</dcterms:created>
  <dcterms:modified xsi:type="dcterms:W3CDTF">2022-06-30T13:29:00Z</dcterms:modified>
</cp:coreProperties>
</file>